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                          к постановлению Администрации         </w:t>
      </w:r>
    </w:p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                                                                        района от                     №                                                         </w:t>
      </w:r>
    </w:p>
    <w:p w:rsidR="00CA7CB9" w:rsidRDefault="00CA7CB9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социальные услуги в учреждениях социального 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794E5A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BC2E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B46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7 974,1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9753F" w:rsidRP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5786A" w:rsidRDefault="0095786A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6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8"/>
              <w:gridCol w:w="1134"/>
              <w:gridCol w:w="1134"/>
              <w:gridCol w:w="1134"/>
              <w:gridCol w:w="1134"/>
            </w:tblGrid>
            <w:tr w:rsidR="0009753F" w:rsidRPr="00C3105F" w:rsidTr="0009753F">
              <w:trPr>
                <w:trHeight w:val="63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2025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09753F" w:rsidRPr="00C3105F" w:rsidTr="0009753F">
              <w:trPr>
                <w:trHeight w:val="51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250620,1</w:t>
                  </w:r>
                </w:p>
              </w:tc>
              <w:tc>
                <w:tcPr>
                  <w:tcW w:w="1134" w:type="dxa"/>
                </w:tcPr>
                <w:p w:rsidR="0009753F" w:rsidRDefault="008C7869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271185,7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276240,1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276581,6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15268,2</w:t>
                  </w:r>
                </w:p>
              </w:tc>
              <w:tc>
                <w:tcPr>
                  <w:tcW w:w="1134" w:type="dxa"/>
                </w:tcPr>
                <w:p w:rsidR="0009753F" w:rsidRDefault="008C7869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15328,7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21818,7</w:t>
                  </w:r>
                </w:p>
              </w:tc>
              <w:tc>
                <w:tcPr>
                  <w:tcW w:w="1134" w:type="dxa"/>
                </w:tcPr>
                <w:p w:rsidR="0009753F" w:rsidRDefault="008C7869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24219,7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24536,6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24646,3</w:t>
                  </w:r>
                </w:p>
              </w:tc>
            </w:tr>
            <w:tr w:rsidR="0009753F" w:rsidRPr="00C3105F" w:rsidTr="0009753F">
              <w:trPr>
                <w:trHeight w:val="326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287707,0</w:t>
                  </w:r>
                </w:p>
              </w:tc>
              <w:tc>
                <w:tcPr>
                  <w:tcW w:w="1134" w:type="dxa"/>
                </w:tcPr>
                <w:p w:rsidR="0009753F" w:rsidRDefault="008C7869" w:rsidP="0034366B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310734,10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314540,9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314992,1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951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 граждан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число беспризорных и безнадзорных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района по состоянию на 01.01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14815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 w:rsidRPr="006B69B2">
        <w:rPr>
          <w:rFonts w:ascii="Times New Roman" w:hAnsi="Times New Roman" w:cs="Times New Roman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 w:rsidRPr="006B69B2">
        <w:rPr>
          <w:rFonts w:ascii="Times New Roman" w:hAnsi="Times New Roman" w:cs="Times New Roman"/>
          <w:sz w:val="24"/>
          <w:szCs w:val="24"/>
        </w:rPr>
        <w:t>н в РФ».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062BD">
        <w:rPr>
          <w:rFonts w:ascii="Times New Roman" w:hAnsi="Times New Roman" w:cs="Times New Roman"/>
          <w:sz w:val="24"/>
          <w:szCs w:val="24"/>
        </w:rPr>
        <w:t xml:space="preserve">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6B69B2" w:rsidRDefault="0048377B" w:rsidP="006B69B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 w:rsidRPr="006B69B2">
        <w:rPr>
          <w:rFonts w:ascii="Times New Roman" w:hAnsi="Times New Roman" w:cs="Times New Roman"/>
          <w:sz w:val="24"/>
          <w:szCs w:val="24"/>
        </w:rPr>
        <w:t>ет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расширение существующе</w:t>
      </w:r>
      <w:r w:rsidR="00874D9D" w:rsidRPr="006B69B2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="00473A26" w:rsidRPr="006B69B2">
        <w:rPr>
          <w:rFonts w:ascii="Times New Roman" w:hAnsi="Times New Roman" w:cs="Times New Roman"/>
          <w:sz w:val="24"/>
          <w:szCs w:val="24"/>
        </w:rPr>
        <w:t>инвалидов.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стратегия действий в интересах детей на 2012-2017 годы, утвержденная Указом Президента от 01 июня 2012 г. № 761,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граждан, получивших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числе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обратившихся граждан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право н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получение</w:t>
      </w:r>
      <w:r w:rsidR="003E2B73" w:rsidRPr="000A4F31">
        <w:rPr>
          <w:rFonts w:ascii="Times New Roman" w:hAnsi="Times New Roman" w:cs="Times New Roman"/>
          <w:sz w:val="24"/>
          <w:szCs w:val="24"/>
        </w:rPr>
        <w:t>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</w:t>
      </w:r>
      <w:r w:rsidR="007A7332">
        <w:rPr>
          <w:rFonts w:ascii="Times New Roman" w:hAnsi="Times New Roman" w:cs="Times New Roman"/>
          <w:sz w:val="24"/>
          <w:szCs w:val="24"/>
        </w:rPr>
        <w:t>еству   граждан, имеющих право и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А = Ч обеспеч.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обеспеч.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4F31">
        <w:rPr>
          <w:rFonts w:ascii="Times New Roman" w:hAnsi="Times New Roman" w:cs="Times New Roman"/>
          <w:sz w:val="24"/>
          <w:szCs w:val="24"/>
        </w:rPr>
        <w:t>сн=Ксн*100%/К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постинтернатным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 Дп-и=Чп-и*100%/Ч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34"/>
        <w:gridCol w:w="1154"/>
      </w:tblGrid>
      <w:tr w:rsidR="005F16D8" w:rsidRPr="00D32C03" w:rsidTr="00794E5A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</w:t>
            </w:r>
            <w:r w:rsidR="006B6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2025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ED3DD5" w:rsidRPr="00D32C03" w:rsidTr="00794E5A">
        <w:trPr>
          <w:cantSplit/>
          <w:trHeight w:val="4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3D79B7" w:rsidRDefault="00BC518A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8C438F" w:rsidRPr="00D32C03" w:rsidTr="00794E5A">
        <w:trPr>
          <w:cantSplit/>
          <w:trHeight w:val="69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21796,5</w:t>
            </w:r>
          </w:p>
          <w:p w:rsidR="009A42FE" w:rsidRPr="00AE4676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EC20DE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A7332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2344,6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786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2852,6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A27A6F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за пользование услугами связи).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295A7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4137,8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BC680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3763,7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59911,1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63191,6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14120,5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422D8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27337,8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30139,9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31345,4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21109,6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23931,6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811E0F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2983,</w:t>
            </w:r>
            <w:r w:rsidR="00FA7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2267,7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438,5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5882,4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107C8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20753,0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11501,</w:t>
            </w:r>
            <w:r w:rsidR="00FA7E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2018</w:t>
            </w:r>
            <w:r w:rsidR="00B46C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</w:t>
            </w:r>
            <w:r w:rsidR="00B46C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</w:t>
            </w:r>
            <w:r w:rsidR="00B46C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3E7BB0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F50CA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Pr="00614561" w:rsidRDefault="008F50CA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0CA" w:rsidRDefault="008F50CA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отдельным категориям граждан в связи с проведением специальной военной операции</w:t>
            </w:r>
            <w:r w:rsidR="00A70C8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на территориях Донецкой Народной Республики, Луганской Народной республики и Украины</w:t>
            </w: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6674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368E3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Pr="00614561" w:rsidRDefault="001368E3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E3" w:rsidRPr="009D6C7E" w:rsidRDefault="001368E3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368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07C8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  <w:r w:rsidR="00107C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(организация работы органов УСЗН)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504DC2" w:rsidRDefault="007A7332" w:rsidP="008F5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76BF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C7869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A7332" w:rsidRPr="0037572C" w:rsidTr="00794E5A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96BC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2164D5" w:rsidRPr="00D32C03" w:rsidTr="00E646FA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D5" w:rsidRPr="00BC518A" w:rsidRDefault="002164D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2164D5" w:rsidRPr="00BC518A" w:rsidRDefault="002164D5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8C7869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24219,7</w:t>
            </w:r>
          </w:p>
          <w:p w:rsidR="002A1825" w:rsidRPr="00AE4676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24646,3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F8" w:rsidRDefault="002164D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2164D5" w:rsidRPr="00FC2166" w:rsidRDefault="002164D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2164D5" w:rsidRPr="00B84126" w:rsidRDefault="002164D5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9D6C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FA7EDE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176265</w:t>
            </w:r>
            <w:r w:rsidR="0080461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,3</w:t>
            </w:r>
          </w:p>
          <w:p w:rsidR="00616E65" w:rsidRPr="00AE4676" w:rsidRDefault="00616E65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AE5B62" w:rsidP="00AE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2C5CEB" w:rsidP="00C2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</w:t>
            </w:r>
            <w:r w:rsidR="00C219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80461D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8C454F" w:rsidP="001F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8C454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E" w:rsidRPr="00AE4676" w:rsidRDefault="0080461D" w:rsidP="002B41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215208,7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AE5B6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</w:t>
            </w:r>
            <w:r w:rsidR="00AE5B62">
              <w:rPr>
                <w:rFonts w:ascii="Times New Roman" w:hAnsi="Times New Roman" w:cs="Times New Roman"/>
                <w:b/>
                <w:sz w:val="16"/>
                <w:szCs w:val="16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C21941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228618,0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1719" w:rsidRPr="00D32C03" w:rsidTr="00794E5A">
        <w:trPr>
          <w:cantSplit/>
          <w:trHeight w:val="57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A226B8" w:rsidRDefault="00BC518A" w:rsidP="001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8C438F" w:rsidRPr="00D32C03" w:rsidTr="00330D84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8C438F" w:rsidRPr="00614561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901B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8C438F" w:rsidRPr="00FC2166" w:rsidRDefault="008C438F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9901B8" w:rsidRPr="00D32C03" w:rsidTr="009901B8">
        <w:trPr>
          <w:cantSplit/>
          <w:trHeight w:val="67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Pr="00614561" w:rsidRDefault="009901B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1B8" w:rsidRPr="00BC518A" w:rsidRDefault="009901B8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основного средства (интерактивной доски)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Pr="00614561" w:rsidRDefault="009901B8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Default="009901B8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Default="009901B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Default="009901B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Default="009901B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B8" w:rsidRPr="00FC2166" w:rsidRDefault="009901B8" w:rsidP="009901B8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9901B8" w:rsidRPr="00FC2166" w:rsidRDefault="009901B8" w:rsidP="009901B8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3B10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901B8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26247,5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CD34F0" w:rsidRDefault="007635A6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8F" w:rsidRPr="008102B9" w:rsidRDefault="008C438F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C518A" w:rsidRPr="00D32C03" w:rsidTr="00E00004">
        <w:trPr>
          <w:cantSplit/>
          <w:trHeight w:val="98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2E522F" w:rsidRDefault="00BC518A" w:rsidP="001D36D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77AE2" w:rsidRPr="00D32C03" w:rsidTr="006C276A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D20159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0284E"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9901B8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28863,6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77AE2" w:rsidRPr="00FC2166" w:rsidRDefault="00E77AE2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8102B9" w:rsidTr="006C276A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59" w:rsidRPr="00AE4676" w:rsidRDefault="009901B8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33866,2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28863,6</w:t>
            </w:r>
          </w:p>
          <w:p w:rsidR="006C276A" w:rsidRPr="008A1BAC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0F1756" w:rsidRDefault="008C438F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E77AE2" w:rsidRPr="00D32C03" w:rsidTr="00794E5A">
        <w:trPr>
          <w:cantSplit/>
          <w:trHeight w:val="53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2E522F" w:rsidRDefault="00AF3007" w:rsidP="001D36D7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E77AE2" w:rsidRPr="00D32C03" w:rsidTr="00D461EF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7635A6" w:rsidP="00D46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9901B8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E77AE2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AE2" w:rsidRPr="00614561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7635A6" w:rsidP="00E7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05388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Pr="00614561" w:rsidRDefault="00105388" w:rsidP="0010538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88" w:rsidRPr="009D6C7E" w:rsidRDefault="00105388" w:rsidP="0010538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специализированного автотранспорта для муниципальных учреждений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</w:tc>
      </w:tr>
      <w:tr w:rsidR="00E77AE2" w:rsidRPr="00D32C03" w:rsidTr="00330D84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C518A" w:rsidRDefault="00E77AE2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532AF2" w:rsidP="00330D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341A03" w:rsidRDefault="009901B8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34856,7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8A1BAC" w:rsidRDefault="00532AF2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E2B0C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794E5A">
        <w:trPr>
          <w:cantSplit/>
          <w:trHeight w:val="291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A6722D" w:rsidRDefault="00AF3007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8C438F" w:rsidRPr="00D32C03" w:rsidTr="00330D84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  <w:p w:rsidR="002164D5" w:rsidRPr="00AE4676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0F1756" w:rsidTr="00794E5A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2164D5" w:rsidP="007435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8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C32E45" w:rsidRDefault="00AF3007" w:rsidP="00A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8C438F" w:rsidRPr="00D32C03" w:rsidTr="00330D84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F21" w:rsidRPr="00AF3007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2164D5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2164D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1" w:rsidRPr="00DC7993" w:rsidRDefault="00AF3007" w:rsidP="00AC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Реабилитация инвалидов различными методами </w:t>
            </w:r>
          </w:p>
        </w:tc>
      </w:tr>
      <w:tr w:rsidR="005F16D8" w:rsidRPr="00D32C03" w:rsidTr="00794E5A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6D8" w:rsidRPr="00AF3007" w:rsidRDefault="005F16D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2164D5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5F16D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5F16D8" w:rsidRPr="00FD3903" w:rsidRDefault="00E646FA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794E5A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2406DA" w:rsidRDefault="002164D5" w:rsidP="002164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AE2" w:rsidTr="00794E5A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E2" w:rsidRPr="00614561" w:rsidRDefault="00E77AE2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FA" w:rsidRPr="002406DA" w:rsidRDefault="00532AF2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287707,0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B" w:rsidRPr="00FF6B9D" w:rsidRDefault="009901B8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310734,1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2B4191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314540,9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723413" w:rsidRDefault="002B4191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314992,1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1 22</w:t>
      </w:r>
      <w:r w:rsidR="004A1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C3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873,3</w:t>
      </w:r>
      <w:r w:rsidR="00820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587"/>
        <w:gridCol w:w="1587"/>
        <w:gridCol w:w="1587"/>
        <w:gridCol w:w="1587"/>
      </w:tblGrid>
      <w:tr w:rsidR="005F16D8" w:rsidRPr="007D239A" w:rsidTr="003200B4">
        <w:tc>
          <w:tcPr>
            <w:tcW w:w="0" w:type="auto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5F16D8" w:rsidRPr="005A3994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5F16D8" w:rsidRPr="002406DA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="005F16D8"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Pr="002406DA" w:rsidRDefault="005F16D8" w:rsidP="00C21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="005F1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250620,1</w:t>
            </w:r>
          </w:p>
        </w:tc>
        <w:tc>
          <w:tcPr>
            <w:tcW w:w="1587" w:type="dxa"/>
          </w:tcPr>
          <w:p w:rsidR="008C186A" w:rsidRDefault="009901B8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271185,7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276240,1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276581,6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15268,2</w:t>
            </w:r>
          </w:p>
        </w:tc>
        <w:tc>
          <w:tcPr>
            <w:tcW w:w="1587" w:type="dxa"/>
          </w:tcPr>
          <w:p w:rsidR="008C186A" w:rsidRDefault="009901B8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15328,7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21818,7</w:t>
            </w:r>
          </w:p>
        </w:tc>
        <w:tc>
          <w:tcPr>
            <w:tcW w:w="1587" w:type="dxa"/>
          </w:tcPr>
          <w:p w:rsidR="008C186A" w:rsidRDefault="009901B8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24219,7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24536,6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24646,3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7D239A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287707,0</w:t>
            </w:r>
          </w:p>
        </w:tc>
        <w:tc>
          <w:tcPr>
            <w:tcW w:w="1587" w:type="dxa"/>
          </w:tcPr>
          <w:p w:rsidR="008C186A" w:rsidRDefault="009901B8" w:rsidP="008C186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310734,1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314540,9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314992,1</w:t>
            </w:r>
          </w:p>
        </w:tc>
      </w:tr>
    </w:tbl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</w:t>
      </w:r>
      <w:r w:rsidR="00E206AB" w:rsidRPr="00E206AB">
        <w:rPr>
          <w:rFonts w:ascii="Times New Roman" w:hAnsi="Times New Roman" w:cs="Times New Roman"/>
          <w:sz w:val="24"/>
          <w:szCs w:val="24"/>
          <w:lang w:eastAsia="ru-RU"/>
        </w:rPr>
        <w:t xml:space="preserve">обратившихся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>граждан,</w:t>
      </w:r>
      <w:r w:rsidR="00E206AB">
        <w:rPr>
          <w:rFonts w:ascii="Times New Roman" w:hAnsi="Times New Roman" w:cs="Times New Roman"/>
          <w:sz w:val="24"/>
          <w:szCs w:val="24"/>
          <w:lang w:eastAsia="ru-RU"/>
        </w:rPr>
        <w:t xml:space="preserve"> имеющих право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6AB">
        <w:rPr>
          <w:rFonts w:ascii="Times New Roman" w:hAnsi="Times New Roman" w:cs="Times New Roman"/>
          <w:sz w:val="24"/>
          <w:szCs w:val="24"/>
        </w:rPr>
        <w:t>на их получение</w:t>
      </w:r>
      <w:r w:rsidR="00903B4A" w:rsidRPr="00903B4A">
        <w:rPr>
          <w:rFonts w:ascii="Times New Roman" w:hAnsi="Times New Roman" w:cs="Times New Roman"/>
          <w:sz w:val="24"/>
          <w:szCs w:val="24"/>
        </w:rPr>
        <w:t>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обеспеч.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Дп-и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r w:rsidR="00DA5D96">
        <w:rPr>
          <w:rFonts w:ascii="Times New Roman" w:hAnsi="Times New Roman" w:cs="Times New Roman"/>
          <w:sz w:val="24"/>
          <w:szCs w:val="24"/>
        </w:rPr>
        <w:t>Чп-и*100%/Ч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072B65" w:rsidRDefault="00072B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Pr="00B71414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1020"/>
        <w:gridCol w:w="1020"/>
        <w:gridCol w:w="1020"/>
        <w:gridCol w:w="1020"/>
        <w:gridCol w:w="1020"/>
      </w:tblGrid>
      <w:tr w:rsidR="00E206AB" w:rsidRPr="000A5C7C" w:rsidTr="00CB1F21">
        <w:tc>
          <w:tcPr>
            <w:tcW w:w="392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9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CB1F2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71414" w:rsidRPr="000A5C7C" w:rsidRDefault="00E206AB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E206AB">
              <w:rPr>
                <w:rFonts w:ascii="Times New Roman" w:hAnsi="Times New Roman" w:cs="Times New Roman"/>
              </w:rPr>
              <w:t>доля граждан, получивших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20" w:type="dxa"/>
          </w:tcPr>
          <w:p w:rsidR="00B71414" w:rsidRPr="000A5C7C" w:rsidRDefault="00B71414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E206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B71414" w:rsidRPr="000A5C7C" w:rsidRDefault="00B71414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Pr="000A5C7C" w:rsidRDefault="00D50973" w:rsidP="001662D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0211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17"/>
        <w:gridCol w:w="851"/>
        <w:gridCol w:w="850"/>
        <w:gridCol w:w="851"/>
        <w:gridCol w:w="1729"/>
        <w:gridCol w:w="6"/>
      </w:tblGrid>
      <w:tr w:rsidR="00D50973" w:rsidTr="008C438F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17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2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3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5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1729" w:type="dxa"/>
            <w:textDirection w:val="btLr"/>
            <w:vAlign w:val="center"/>
          </w:tcPr>
          <w:p w:rsidR="00D50973" w:rsidRPr="00723095" w:rsidRDefault="00D50973" w:rsidP="00D50973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8C438F" w:rsidTr="009901B8">
        <w:trPr>
          <w:gridAfter w:val="1"/>
          <w:wAfter w:w="6" w:type="dxa"/>
          <w:trHeight w:val="1168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</w:pPr>
            <w:r w:rsidRPr="00215BF4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851" w:type="dxa"/>
          </w:tcPr>
          <w:p w:rsidR="008C438F" w:rsidRPr="000A5C7C" w:rsidRDefault="009901B8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24219,7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9901B8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176265,3</w:t>
            </w:r>
          </w:p>
          <w:p w:rsidR="006F41ED" w:rsidRPr="000A5C7C" w:rsidRDefault="006F41E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9901B8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14723,7</w:t>
            </w:r>
          </w:p>
        </w:tc>
        <w:tc>
          <w:tcPr>
            <w:tcW w:w="850" w:type="dxa"/>
          </w:tcPr>
          <w:p w:rsidR="008C438F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851" w:type="dxa"/>
          </w:tcPr>
          <w:p w:rsidR="008C438F" w:rsidRDefault="00322695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  <w:p w:rsidR="00787AE1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  <w:p w:rsidR="008C438F" w:rsidRPr="000A5C7C" w:rsidRDefault="008C438F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9901B8">
        <w:trPr>
          <w:gridAfter w:val="1"/>
          <w:wAfter w:w="6" w:type="dxa"/>
          <w:trHeight w:val="117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2</w:t>
            </w:r>
          </w:p>
          <w:p w:rsidR="008C438F" w:rsidRPr="00723095" w:rsidRDefault="008C438F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851" w:type="dxa"/>
          </w:tcPr>
          <w:p w:rsidR="008C438F" w:rsidRPr="000A5C7C" w:rsidRDefault="009901B8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34856,7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851" w:type="dxa"/>
          </w:tcPr>
          <w:p w:rsidR="008C438F" w:rsidRPr="000A5C7C" w:rsidRDefault="003200B4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8C438F" w:rsidRPr="000A5C7C" w:rsidRDefault="008C438F" w:rsidP="00004030">
            <w:pPr>
              <w:rPr>
                <w:sz w:val="16"/>
                <w:szCs w:val="16"/>
              </w:rPr>
            </w:pPr>
          </w:p>
          <w:p w:rsidR="008C438F" w:rsidRPr="000A5C7C" w:rsidRDefault="003200B4" w:rsidP="0000403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B46CDE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4154EA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851" w:type="dxa"/>
          </w:tcPr>
          <w:p w:rsidR="008C438F" w:rsidRDefault="009901B8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26197,5</w:t>
            </w:r>
          </w:p>
          <w:p w:rsidR="00B46CDE" w:rsidRDefault="00B46CDE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B46CDE" w:rsidRPr="002A5BBE" w:rsidRDefault="00B46CDE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851" w:type="dxa"/>
          </w:tcPr>
          <w:p w:rsidR="008C438F" w:rsidRPr="004154EA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1729" w:type="dxa"/>
          </w:tcPr>
          <w:p w:rsidR="008C438F" w:rsidRPr="000A5C7C" w:rsidRDefault="008C438F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8C438F" w:rsidTr="008C438F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4139" w:type="dxa"/>
          </w:tcPr>
          <w:p w:rsidR="008C438F" w:rsidRPr="00215BF4" w:rsidRDefault="008C438F" w:rsidP="009A1E50">
            <w:pPr>
              <w:ind w:firstLine="0"/>
            </w:pPr>
            <w:r w:rsidRPr="00215BF4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 xml:space="preserve">до 18 лет,  включая оказание им социально-бытовых услуг, социально-медицинских </w:t>
            </w:r>
            <w:r w:rsidRPr="00215BF4">
              <w:lastRenderedPageBreak/>
              <w:t>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lastRenderedPageBreak/>
              <w:t>ОБ</w:t>
            </w:r>
          </w:p>
        </w:tc>
        <w:tc>
          <w:tcPr>
            <w:tcW w:w="817" w:type="dxa"/>
          </w:tcPr>
          <w:p w:rsidR="008C438F" w:rsidRPr="00012004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851" w:type="dxa"/>
          </w:tcPr>
          <w:p w:rsidR="008C438F" w:rsidRPr="002A5BBE" w:rsidRDefault="00F668E3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33866,2</w:t>
            </w:r>
          </w:p>
        </w:tc>
        <w:tc>
          <w:tcPr>
            <w:tcW w:w="850" w:type="dxa"/>
          </w:tcPr>
          <w:p w:rsidR="008C438F" w:rsidRPr="009769B2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851" w:type="dxa"/>
          </w:tcPr>
          <w:p w:rsidR="008C438F" w:rsidRPr="00012004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МКУ «Центр помощи детям, оставшимся без попечения родителей» Катав-Ивановского муниципального </w:t>
            </w:r>
            <w:r w:rsidRPr="000A5C7C">
              <w:rPr>
                <w:sz w:val="16"/>
                <w:szCs w:val="16"/>
              </w:rPr>
              <w:lastRenderedPageBreak/>
              <w:t>района</w:t>
            </w:r>
          </w:p>
        </w:tc>
      </w:tr>
      <w:tr w:rsidR="00787AE1" w:rsidTr="008C438F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lastRenderedPageBreak/>
              <w:t>5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87AE1" w:rsidRPr="00215BF4" w:rsidRDefault="00787AE1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787AE1" w:rsidRPr="002F6DD9" w:rsidRDefault="00787AE1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8C438F" w:rsidTr="008C438F">
        <w:trPr>
          <w:trHeight w:val="272"/>
          <w:jc w:val="center"/>
        </w:trPr>
        <w:tc>
          <w:tcPr>
            <w:tcW w:w="401" w:type="dxa"/>
          </w:tcPr>
          <w:p w:rsidR="008C438F" w:rsidRPr="00723095" w:rsidRDefault="008C438F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8C438F" w:rsidRPr="00723095" w:rsidRDefault="008C438F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8C438F" w:rsidRPr="00723095" w:rsidRDefault="008C438F" w:rsidP="006751FE">
            <w:pPr>
              <w:pStyle w:val="af1"/>
              <w:ind w:left="0"/>
              <w:jc w:val="center"/>
            </w:pPr>
          </w:p>
        </w:tc>
        <w:tc>
          <w:tcPr>
            <w:tcW w:w="817" w:type="dxa"/>
          </w:tcPr>
          <w:p w:rsidR="008C438F" w:rsidRPr="004154EA" w:rsidRDefault="00B6677F" w:rsidP="00A04B47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</w:tc>
        <w:tc>
          <w:tcPr>
            <w:tcW w:w="851" w:type="dxa"/>
          </w:tcPr>
          <w:p w:rsidR="008C438F" w:rsidRPr="002A5BBE" w:rsidRDefault="00F668E3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310734,1</w:t>
            </w:r>
          </w:p>
        </w:tc>
        <w:tc>
          <w:tcPr>
            <w:tcW w:w="850" w:type="dxa"/>
          </w:tcPr>
          <w:p w:rsidR="008C438F" w:rsidRPr="003C31CD" w:rsidRDefault="00B6677F" w:rsidP="00794E5A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851" w:type="dxa"/>
          </w:tcPr>
          <w:p w:rsidR="008C438F" w:rsidRPr="004154EA" w:rsidRDefault="00B6677F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1735" w:type="dxa"/>
            <w:gridSpan w:val="2"/>
          </w:tcPr>
          <w:p w:rsidR="008C438F" w:rsidRPr="000A5C7C" w:rsidRDefault="008C438F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5F7111" w:rsidRDefault="005F711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 xml:space="preserve">меры социальной поддержки, в общем числе </w:t>
            </w:r>
            <w:r w:rsidR="00B238EC" w:rsidRPr="00B238EC">
              <w:rPr>
                <w:sz w:val="22"/>
                <w:szCs w:val="22"/>
              </w:rPr>
              <w:t xml:space="preserve">обратившихся </w:t>
            </w:r>
            <w:r w:rsidRPr="00C7384C">
              <w:rPr>
                <w:sz w:val="22"/>
                <w:szCs w:val="22"/>
              </w:rPr>
              <w:t xml:space="preserve">граждан, </w:t>
            </w:r>
            <w:r w:rsidR="00B238EC">
              <w:rPr>
                <w:sz w:val="22"/>
                <w:szCs w:val="22"/>
              </w:rPr>
              <w:t>имеющих право на их получение</w:t>
            </w:r>
            <w:r w:rsidRPr="00C7384C">
              <w:rPr>
                <w:sz w:val="22"/>
                <w:szCs w:val="22"/>
              </w:rPr>
              <w:t xml:space="preserve">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постинтернатным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8EC" w:rsidRDefault="00B238EC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238EC" w:rsidRPr="00B238EC"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поддержки, в общем числе обратившихся граждан, имеющих право на их получение</w:t>
      </w:r>
      <w:r w:rsidR="007F2D56" w:rsidRPr="00903B4A">
        <w:rPr>
          <w:rFonts w:ascii="Times New Roman" w:hAnsi="Times New Roman" w:cs="Times New Roman"/>
          <w:sz w:val="24"/>
          <w:szCs w:val="24"/>
        </w:rPr>
        <w:t>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Показатель позволяет оценить результаты реализации </w:t>
      </w:r>
      <w:r w:rsidR="007F2D56" w:rsidRPr="00903B4A">
        <w:rPr>
          <w:rFonts w:ascii="Times New Roman" w:hAnsi="Times New Roman" w:cs="Times New Roman"/>
          <w:sz w:val="24"/>
          <w:szCs w:val="24"/>
        </w:rPr>
        <w:lastRenderedPageBreak/>
        <w:t>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 Ч обеспе</w:t>
      </w:r>
      <w:r w:rsidR="00785111">
        <w:rPr>
          <w:rFonts w:ascii="Times New Roman" w:hAnsi="Times New Roman" w:cs="Times New Roman"/>
          <w:sz w:val="24"/>
          <w:szCs w:val="24"/>
        </w:rPr>
        <w:t>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077CC7">
        <w:rPr>
          <w:rFonts w:ascii="Times New Roman" w:hAnsi="Times New Roman" w:cs="Times New Roman"/>
          <w:sz w:val="24"/>
          <w:szCs w:val="24"/>
        </w:rPr>
        <w:t>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Кобщ-общее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DE" w:rsidRDefault="00B46CD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DE" w:rsidRDefault="00B46CD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DE" w:rsidRDefault="00B46CD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DE" w:rsidRDefault="00B46CD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DE" w:rsidRDefault="00B46CD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CC7FA3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бухгалтера</w:t>
      </w:r>
      <w:r w:rsidR="003B41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выплат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3B41BD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Л.С.Подшивалова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D2157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 – Ивановского муниципального района</w:t>
      </w:r>
      <w:bookmarkStart w:id="2" w:name="_GoBack"/>
      <w:bookmarkEnd w:id="2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92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1570">
        <w:rPr>
          <w:rFonts w:ascii="Times New Roman" w:eastAsia="Times New Roman" w:hAnsi="Times New Roman" w:cs="Times New Roman"/>
          <w:sz w:val="26"/>
          <w:szCs w:val="26"/>
          <w:lang w:eastAsia="ru-RU"/>
        </w:rPr>
        <w:t>О.Г.Васильева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293EE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D21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И.Д. Решетов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70" w:rsidRDefault="00D21570">
      <w:pPr>
        <w:spacing w:after="0" w:line="240" w:lineRule="auto"/>
      </w:pPr>
      <w:r>
        <w:separator/>
      </w:r>
    </w:p>
  </w:endnote>
  <w:endnote w:type="continuationSeparator" w:id="0">
    <w:p w:rsidR="00D21570" w:rsidRDefault="00D2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70" w:rsidRDefault="00D21570">
      <w:pPr>
        <w:spacing w:after="0" w:line="240" w:lineRule="auto"/>
      </w:pPr>
      <w:r>
        <w:separator/>
      </w:r>
    </w:p>
  </w:footnote>
  <w:footnote w:type="continuationSeparator" w:id="0">
    <w:p w:rsidR="00D21570" w:rsidRDefault="00D2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570" w:rsidRDefault="00D21570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1570" w:rsidRDefault="00D21570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570" w:rsidRDefault="00D21570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4E12">
      <w:rPr>
        <w:rStyle w:val="a9"/>
        <w:noProof/>
      </w:rPr>
      <w:t>18</w:t>
    </w:r>
    <w:r>
      <w:rPr>
        <w:rStyle w:val="a9"/>
      </w:rPr>
      <w:fldChar w:fldCharType="end"/>
    </w:r>
  </w:p>
  <w:p w:rsidR="00D21570" w:rsidRDefault="00D21570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42A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66E1B"/>
    <w:rsid w:val="00070025"/>
    <w:rsid w:val="00071346"/>
    <w:rsid w:val="00071901"/>
    <w:rsid w:val="00071B91"/>
    <w:rsid w:val="00072B65"/>
    <w:rsid w:val="000757FD"/>
    <w:rsid w:val="00077CC7"/>
    <w:rsid w:val="00082E70"/>
    <w:rsid w:val="0008322F"/>
    <w:rsid w:val="00083298"/>
    <w:rsid w:val="00087024"/>
    <w:rsid w:val="000954C2"/>
    <w:rsid w:val="0009753F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52D6"/>
    <w:rsid w:val="000C2D36"/>
    <w:rsid w:val="000C53DB"/>
    <w:rsid w:val="000D150D"/>
    <w:rsid w:val="000D5AFA"/>
    <w:rsid w:val="000D714A"/>
    <w:rsid w:val="000F1756"/>
    <w:rsid w:val="000F1D28"/>
    <w:rsid w:val="000F22FB"/>
    <w:rsid w:val="000F31BF"/>
    <w:rsid w:val="000F4D7D"/>
    <w:rsid w:val="000F5035"/>
    <w:rsid w:val="000F7B27"/>
    <w:rsid w:val="00100FF1"/>
    <w:rsid w:val="00101398"/>
    <w:rsid w:val="00102942"/>
    <w:rsid w:val="00105388"/>
    <w:rsid w:val="00107C8A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368E3"/>
    <w:rsid w:val="00144769"/>
    <w:rsid w:val="00144FA4"/>
    <w:rsid w:val="001477EB"/>
    <w:rsid w:val="0014796C"/>
    <w:rsid w:val="00150501"/>
    <w:rsid w:val="001509AE"/>
    <w:rsid w:val="001558A8"/>
    <w:rsid w:val="00155B17"/>
    <w:rsid w:val="0015644C"/>
    <w:rsid w:val="00156B97"/>
    <w:rsid w:val="00157145"/>
    <w:rsid w:val="001576EE"/>
    <w:rsid w:val="001602FB"/>
    <w:rsid w:val="001662D9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4E12"/>
    <w:rsid w:val="00195746"/>
    <w:rsid w:val="00196356"/>
    <w:rsid w:val="00196AB7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74C9"/>
    <w:rsid w:val="001C1C58"/>
    <w:rsid w:val="001C71BC"/>
    <w:rsid w:val="001C7230"/>
    <w:rsid w:val="001D1CE6"/>
    <w:rsid w:val="001D2308"/>
    <w:rsid w:val="001D36D7"/>
    <w:rsid w:val="001D5FC5"/>
    <w:rsid w:val="001D60A7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4D5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5A7C"/>
    <w:rsid w:val="002974FB"/>
    <w:rsid w:val="002A1825"/>
    <w:rsid w:val="002A2F84"/>
    <w:rsid w:val="002A4965"/>
    <w:rsid w:val="002A5560"/>
    <w:rsid w:val="002A5BBE"/>
    <w:rsid w:val="002B0CE1"/>
    <w:rsid w:val="002B147D"/>
    <w:rsid w:val="002B1C6F"/>
    <w:rsid w:val="002B4191"/>
    <w:rsid w:val="002B6684"/>
    <w:rsid w:val="002C08DF"/>
    <w:rsid w:val="002C0AAA"/>
    <w:rsid w:val="002C151B"/>
    <w:rsid w:val="002C1A4A"/>
    <w:rsid w:val="002C3083"/>
    <w:rsid w:val="002C4144"/>
    <w:rsid w:val="002C5BF2"/>
    <w:rsid w:val="002C5CEB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00B4"/>
    <w:rsid w:val="00322695"/>
    <w:rsid w:val="00322EB0"/>
    <w:rsid w:val="00325908"/>
    <w:rsid w:val="00330D84"/>
    <w:rsid w:val="003405D8"/>
    <w:rsid w:val="00341A03"/>
    <w:rsid w:val="00342EB8"/>
    <w:rsid w:val="0034366B"/>
    <w:rsid w:val="003459EC"/>
    <w:rsid w:val="00346C25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87115"/>
    <w:rsid w:val="00393803"/>
    <w:rsid w:val="00393D4F"/>
    <w:rsid w:val="00393E5E"/>
    <w:rsid w:val="003945CC"/>
    <w:rsid w:val="003962CC"/>
    <w:rsid w:val="003A043D"/>
    <w:rsid w:val="003A05B2"/>
    <w:rsid w:val="003A18F8"/>
    <w:rsid w:val="003A2E02"/>
    <w:rsid w:val="003A416D"/>
    <w:rsid w:val="003A41B3"/>
    <w:rsid w:val="003A4A49"/>
    <w:rsid w:val="003B1037"/>
    <w:rsid w:val="003B394D"/>
    <w:rsid w:val="003B41BD"/>
    <w:rsid w:val="003B49A2"/>
    <w:rsid w:val="003B5EF7"/>
    <w:rsid w:val="003B61AD"/>
    <w:rsid w:val="003C076D"/>
    <w:rsid w:val="003C31CD"/>
    <w:rsid w:val="003C32D9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E7BB0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1415"/>
    <w:rsid w:val="00415207"/>
    <w:rsid w:val="004154EA"/>
    <w:rsid w:val="00416C1E"/>
    <w:rsid w:val="0043177A"/>
    <w:rsid w:val="004317AE"/>
    <w:rsid w:val="00431894"/>
    <w:rsid w:val="00432D69"/>
    <w:rsid w:val="00432DB2"/>
    <w:rsid w:val="004409C0"/>
    <w:rsid w:val="00450497"/>
    <w:rsid w:val="00451C82"/>
    <w:rsid w:val="00453BB4"/>
    <w:rsid w:val="0045516D"/>
    <w:rsid w:val="004552F4"/>
    <w:rsid w:val="0045668B"/>
    <w:rsid w:val="00464D3A"/>
    <w:rsid w:val="00465ACF"/>
    <w:rsid w:val="00466360"/>
    <w:rsid w:val="0047105D"/>
    <w:rsid w:val="00473A26"/>
    <w:rsid w:val="00473CDF"/>
    <w:rsid w:val="00474C06"/>
    <w:rsid w:val="00474E17"/>
    <w:rsid w:val="00477DC6"/>
    <w:rsid w:val="0048377B"/>
    <w:rsid w:val="00486AC3"/>
    <w:rsid w:val="00491F5D"/>
    <w:rsid w:val="004948B5"/>
    <w:rsid w:val="00496BCC"/>
    <w:rsid w:val="004A1FD1"/>
    <w:rsid w:val="004B083C"/>
    <w:rsid w:val="004B1FB3"/>
    <w:rsid w:val="004B5B1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37CD"/>
    <w:rsid w:val="00524172"/>
    <w:rsid w:val="00525749"/>
    <w:rsid w:val="00526D0A"/>
    <w:rsid w:val="0053030A"/>
    <w:rsid w:val="00530595"/>
    <w:rsid w:val="005323C2"/>
    <w:rsid w:val="00532AF2"/>
    <w:rsid w:val="005362FF"/>
    <w:rsid w:val="005379FF"/>
    <w:rsid w:val="00545783"/>
    <w:rsid w:val="00550A0B"/>
    <w:rsid w:val="00550EB6"/>
    <w:rsid w:val="00551382"/>
    <w:rsid w:val="00553C9D"/>
    <w:rsid w:val="0055423C"/>
    <w:rsid w:val="0055647F"/>
    <w:rsid w:val="005720B1"/>
    <w:rsid w:val="005740DE"/>
    <w:rsid w:val="00574709"/>
    <w:rsid w:val="00575C44"/>
    <w:rsid w:val="00580CFE"/>
    <w:rsid w:val="005830BD"/>
    <w:rsid w:val="0058325B"/>
    <w:rsid w:val="00583D03"/>
    <w:rsid w:val="005906DB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47E4"/>
    <w:rsid w:val="00605164"/>
    <w:rsid w:val="006051C2"/>
    <w:rsid w:val="00610037"/>
    <w:rsid w:val="00614065"/>
    <w:rsid w:val="00614561"/>
    <w:rsid w:val="00616E65"/>
    <w:rsid w:val="006177D1"/>
    <w:rsid w:val="00623A30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2B9B"/>
    <w:rsid w:val="00696F03"/>
    <w:rsid w:val="006A1248"/>
    <w:rsid w:val="006A446F"/>
    <w:rsid w:val="006A47DE"/>
    <w:rsid w:val="006A52EC"/>
    <w:rsid w:val="006A53DD"/>
    <w:rsid w:val="006A661A"/>
    <w:rsid w:val="006B0334"/>
    <w:rsid w:val="006B10BC"/>
    <w:rsid w:val="006B1356"/>
    <w:rsid w:val="006B1E88"/>
    <w:rsid w:val="006B4FE8"/>
    <w:rsid w:val="006B50E5"/>
    <w:rsid w:val="006B69B2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73CC"/>
    <w:rsid w:val="006D7AF5"/>
    <w:rsid w:val="006E2D21"/>
    <w:rsid w:val="006E2D44"/>
    <w:rsid w:val="006F41ED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694F"/>
    <w:rsid w:val="00727341"/>
    <w:rsid w:val="00727C79"/>
    <w:rsid w:val="0073140E"/>
    <w:rsid w:val="00732113"/>
    <w:rsid w:val="007326F6"/>
    <w:rsid w:val="00734320"/>
    <w:rsid w:val="00735FCD"/>
    <w:rsid w:val="0073614F"/>
    <w:rsid w:val="00736178"/>
    <w:rsid w:val="0073711C"/>
    <w:rsid w:val="00743542"/>
    <w:rsid w:val="00744A17"/>
    <w:rsid w:val="007505B3"/>
    <w:rsid w:val="00760B67"/>
    <w:rsid w:val="0076160D"/>
    <w:rsid w:val="00762250"/>
    <w:rsid w:val="00762415"/>
    <w:rsid w:val="0076293E"/>
    <w:rsid w:val="007635A6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3DD"/>
    <w:rsid w:val="0079275A"/>
    <w:rsid w:val="00794E5A"/>
    <w:rsid w:val="007A0009"/>
    <w:rsid w:val="007A2A16"/>
    <w:rsid w:val="007A5BDD"/>
    <w:rsid w:val="007A680F"/>
    <w:rsid w:val="007A7332"/>
    <w:rsid w:val="007A7E61"/>
    <w:rsid w:val="007B09B6"/>
    <w:rsid w:val="007B2ECD"/>
    <w:rsid w:val="007B383F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461D"/>
    <w:rsid w:val="0080689F"/>
    <w:rsid w:val="00806B06"/>
    <w:rsid w:val="00806D7D"/>
    <w:rsid w:val="008102B9"/>
    <w:rsid w:val="00811E0F"/>
    <w:rsid w:val="00813F9C"/>
    <w:rsid w:val="00814DCB"/>
    <w:rsid w:val="00820699"/>
    <w:rsid w:val="00821842"/>
    <w:rsid w:val="00821FC7"/>
    <w:rsid w:val="00822D75"/>
    <w:rsid w:val="00826DEF"/>
    <w:rsid w:val="0082794C"/>
    <w:rsid w:val="00831F34"/>
    <w:rsid w:val="00832877"/>
    <w:rsid w:val="00832B23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DBB"/>
    <w:rsid w:val="00861BF8"/>
    <w:rsid w:val="00861EF4"/>
    <w:rsid w:val="00865849"/>
    <w:rsid w:val="00866748"/>
    <w:rsid w:val="008712E7"/>
    <w:rsid w:val="00871796"/>
    <w:rsid w:val="00874D9D"/>
    <w:rsid w:val="00880F2E"/>
    <w:rsid w:val="00882EA9"/>
    <w:rsid w:val="00883A9E"/>
    <w:rsid w:val="00886156"/>
    <w:rsid w:val="008938F6"/>
    <w:rsid w:val="00893A21"/>
    <w:rsid w:val="00894F01"/>
    <w:rsid w:val="00895E51"/>
    <w:rsid w:val="00897442"/>
    <w:rsid w:val="008A148E"/>
    <w:rsid w:val="008A1BAC"/>
    <w:rsid w:val="008A41E4"/>
    <w:rsid w:val="008A46BE"/>
    <w:rsid w:val="008A7A9B"/>
    <w:rsid w:val="008B186B"/>
    <w:rsid w:val="008B22E2"/>
    <w:rsid w:val="008B3106"/>
    <w:rsid w:val="008B320E"/>
    <w:rsid w:val="008C0468"/>
    <w:rsid w:val="008C10B9"/>
    <w:rsid w:val="008C186A"/>
    <w:rsid w:val="008C3888"/>
    <w:rsid w:val="008C438F"/>
    <w:rsid w:val="008C44C5"/>
    <w:rsid w:val="008C454F"/>
    <w:rsid w:val="008C7869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50CA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01B8"/>
    <w:rsid w:val="0099125B"/>
    <w:rsid w:val="00992DCA"/>
    <w:rsid w:val="00996574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E5A"/>
    <w:rsid w:val="00A3421A"/>
    <w:rsid w:val="00A348DD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0C8C"/>
    <w:rsid w:val="00A72A8C"/>
    <w:rsid w:val="00A73AB6"/>
    <w:rsid w:val="00A73DB2"/>
    <w:rsid w:val="00A747AA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D6B35"/>
    <w:rsid w:val="00AE13C1"/>
    <w:rsid w:val="00AE2B6B"/>
    <w:rsid w:val="00AE4676"/>
    <w:rsid w:val="00AE579E"/>
    <w:rsid w:val="00AE5B62"/>
    <w:rsid w:val="00AF0829"/>
    <w:rsid w:val="00AF1774"/>
    <w:rsid w:val="00AF200E"/>
    <w:rsid w:val="00AF2FFB"/>
    <w:rsid w:val="00AF3007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8EC"/>
    <w:rsid w:val="00B23FE8"/>
    <w:rsid w:val="00B248E7"/>
    <w:rsid w:val="00B2753E"/>
    <w:rsid w:val="00B40932"/>
    <w:rsid w:val="00B41139"/>
    <w:rsid w:val="00B41D7E"/>
    <w:rsid w:val="00B44A4A"/>
    <w:rsid w:val="00B46CDE"/>
    <w:rsid w:val="00B50E49"/>
    <w:rsid w:val="00B51AEA"/>
    <w:rsid w:val="00B525CF"/>
    <w:rsid w:val="00B5662C"/>
    <w:rsid w:val="00B56D7D"/>
    <w:rsid w:val="00B577B8"/>
    <w:rsid w:val="00B579D3"/>
    <w:rsid w:val="00B6667C"/>
    <w:rsid w:val="00B6677F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2E42"/>
    <w:rsid w:val="00BC386F"/>
    <w:rsid w:val="00BC4139"/>
    <w:rsid w:val="00BC42BA"/>
    <w:rsid w:val="00BC495D"/>
    <w:rsid w:val="00BC518A"/>
    <w:rsid w:val="00BC540C"/>
    <w:rsid w:val="00BC680E"/>
    <w:rsid w:val="00BC7B58"/>
    <w:rsid w:val="00BD1BFE"/>
    <w:rsid w:val="00BD4638"/>
    <w:rsid w:val="00BD5230"/>
    <w:rsid w:val="00BD774F"/>
    <w:rsid w:val="00BE2B0C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1941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78DA"/>
    <w:rsid w:val="00C60281"/>
    <w:rsid w:val="00C633ED"/>
    <w:rsid w:val="00C63663"/>
    <w:rsid w:val="00C650F9"/>
    <w:rsid w:val="00C668F7"/>
    <w:rsid w:val="00C71D73"/>
    <w:rsid w:val="00C722F3"/>
    <w:rsid w:val="00C73073"/>
    <w:rsid w:val="00C7384C"/>
    <w:rsid w:val="00C73EAF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1551"/>
    <w:rsid w:val="00CA26DC"/>
    <w:rsid w:val="00CA7CB9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D31"/>
    <w:rsid w:val="00CC7FA3"/>
    <w:rsid w:val="00CD0B26"/>
    <w:rsid w:val="00CD34F0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1570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0973"/>
    <w:rsid w:val="00D51ADA"/>
    <w:rsid w:val="00D52E2B"/>
    <w:rsid w:val="00D53F38"/>
    <w:rsid w:val="00D607B0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2200"/>
    <w:rsid w:val="00E129D2"/>
    <w:rsid w:val="00E12B3B"/>
    <w:rsid w:val="00E131DF"/>
    <w:rsid w:val="00E15494"/>
    <w:rsid w:val="00E15F76"/>
    <w:rsid w:val="00E163DF"/>
    <w:rsid w:val="00E174D6"/>
    <w:rsid w:val="00E206AB"/>
    <w:rsid w:val="00E20C42"/>
    <w:rsid w:val="00E25EC8"/>
    <w:rsid w:val="00E26647"/>
    <w:rsid w:val="00E275C3"/>
    <w:rsid w:val="00E27801"/>
    <w:rsid w:val="00E33F31"/>
    <w:rsid w:val="00E35AAF"/>
    <w:rsid w:val="00E36611"/>
    <w:rsid w:val="00E41CC2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F11CE"/>
    <w:rsid w:val="00EF2318"/>
    <w:rsid w:val="00EF2F43"/>
    <w:rsid w:val="00EF7F34"/>
    <w:rsid w:val="00F003DC"/>
    <w:rsid w:val="00F00446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668E3"/>
    <w:rsid w:val="00F76457"/>
    <w:rsid w:val="00F76BF9"/>
    <w:rsid w:val="00F80529"/>
    <w:rsid w:val="00F8319E"/>
    <w:rsid w:val="00F854C9"/>
    <w:rsid w:val="00F85984"/>
    <w:rsid w:val="00F86030"/>
    <w:rsid w:val="00F91387"/>
    <w:rsid w:val="00F91F9C"/>
    <w:rsid w:val="00F942C4"/>
    <w:rsid w:val="00F94744"/>
    <w:rsid w:val="00F94C19"/>
    <w:rsid w:val="00F97BF1"/>
    <w:rsid w:val="00FA007A"/>
    <w:rsid w:val="00FA5303"/>
    <w:rsid w:val="00FA7EDE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B69AF6E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D4D2-1453-4577-964B-91A64EEF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8142</TotalTime>
  <Pages>18</Pages>
  <Words>6998</Words>
  <Characters>39890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Анна Петровна Никитина</cp:lastModifiedBy>
  <cp:revision>588</cp:revision>
  <cp:lastPrinted>2023-10-27T04:20:00Z</cp:lastPrinted>
  <dcterms:created xsi:type="dcterms:W3CDTF">2016-11-03T05:31:00Z</dcterms:created>
  <dcterms:modified xsi:type="dcterms:W3CDTF">2023-10-27T04:57:00Z</dcterms:modified>
</cp:coreProperties>
</file>